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Times New Roman" w:cs="Times New Roman" w:eastAsia="Times New Roman" w:hAnsi="Times New Roman"/>
          <w:b/>
          <w:bCs/>
          <w:sz w:val="32"/>
          <w:szCs w:val="32"/>
        </w:rPr>
        <w:t xml:space="preserve">Embargo y remate de inmuebles por deuda de pensión alimenticia</w:t>
      </w:r>
    </w:p>
    <w:p>
      <w:pPr>
        <w:spacing w:after="400"/>
        <w:jc w:val="center"/>
      </w:pPr>
      <w:r>
        <w:rPr>
          <w:rFonts w:ascii="Times New Roman" w:cs="Times New Roman" w:eastAsia="Times New Roman" w:hAnsi="Times New Roman"/>
          <w:i/>
          <w:iCs/>
          <w:sz w:val="24"/>
          <w:szCs w:val="24"/>
        </w:rPr>
        <w:t xml:space="preserve">Análisis jurídico sobre el aseguramiento y la vía de apremio en materia de alimentos</w:t>
      </w:r>
    </w:p>
    <w:p>
      <w:pPr>
        <w:spacing w:after="200"/>
        <w:jc w:val="both"/>
      </w:pPr>
      <w:r>
        <w:rPr>
          <w:rFonts w:ascii="Times New Roman" w:cs="Times New Roman" w:eastAsia="Times New Roman" w:hAnsi="Times New Roman"/>
          <w:b w:val="false"/>
          <w:bCs w:val="false"/>
          <w:i w:val="false"/>
          <w:iCs w:val="false"/>
          <w:sz w:val="24"/>
          <w:szCs w:val="24"/>
        </w:rPr>
        <w:t xml:space="preserve">El incumplimiento de la obligación alimentaria no puede equipararse a una deuda civil ordinaria. Se trata de una carga jurídica de orden público e interés social, derivada directamente del derecho de las personas acreedoras alimentarias —con especial relevancia cuando se trata de niñas, niños y adolescentes— a la satisfacción de necesidades esenciales como alimentación, salud, educación, vestido y vivienda. Esta naturaleza especial explica por qué el ordenamiento jurídico dota al acreedor alimentario de mecanismos de ejecución particularmente contundentes, entre ellos el embargo y, eventualmente, el remate judicial de bienes inmuebles propiedad del deudor.</w:t>
      </w:r>
    </w:p>
    <w:p>
      <w:pPr>
        <w:spacing w:after="150" w:before="300"/>
      </w:pPr>
      <w:r>
        <w:rPr>
          <w:rFonts w:ascii="Times New Roman" w:cs="Times New Roman" w:eastAsia="Times New Roman" w:hAnsi="Times New Roman"/>
          <w:b/>
          <w:bCs/>
          <w:sz w:val="28"/>
          <w:szCs w:val="28"/>
        </w:rPr>
        <w:t xml:space="preserve">1. El fundamento de la preferencia del crédito alimentario</w:t>
      </w:r>
    </w:p>
    <w:p>
      <w:pPr>
        <w:spacing w:after="200"/>
        <w:jc w:val="both"/>
      </w:pPr>
      <w:r>
        <w:rPr>
          <w:rFonts w:ascii="Times New Roman" w:cs="Times New Roman" w:eastAsia="Times New Roman" w:hAnsi="Times New Roman"/>
          <w:b w:val="false"/>
          <w:bCs w:val="false"/>
          <w:i w:val="false"/>
          <w:iCs w:val="false"/>
          <w:sz w:val="24"/>
          <w:szCs w:val="24"/>
        </w:rPr>
        <w:t xml:space="preserve">A diferencia de otros adeudos, el crédito alimentario goza de un tratamiento preferente en la legislación civil y familiar. Esta preferencia se traduce, en el plano procesal, en la posibilidad de decretar medidas de aseguramiento y ejecución con mayor celeridad y menor margen de oposición para el deudor, precisamente porque lo que está en juego no es un interés patrimonial cualquiera, sino la subsistencia de las personas acreedoras. Los códigos civiles y de procedimientos civiles estatales, así como el Código Nacional de Procedimientos Civiles y Familiares en las entidades donde ya se encuentra vigente, regulan el aseguramiento de alimentos como una institución procesal autónoma, no sujeta sin más a las reglas generales aplicables al embargo por cualquier otro tipo de adeudo.</w:t>
      </w:r>
    </w:p>
    <w:p>
      <w:pPr>
        <w:spacing w:after="150" w:before="300"/>
      </w:pPr>
      <w:r>
        <w:rPr>
          <w:rFonts w:ascii="Times New Roman" w:cs="Times New Roman" w:eastAsia="Times New Roman" w:hAnsi="Times New Roman"/>
          <w:b/>
          <w:bCs/>
          <w:sz w:val="28"/>
          <w:szCs w:val="28"/>
        </w:rPr>
        <w:t xml:space="preserve">2. Del incumplimiento al embargo</w:t>
      </w:r>
    </w:p>
    <w:p>
      <w:pPr>
        <w:spacing w:after="200"/>
        <w:jc w:val="both"/>
      </w:pPr>
      <w:r>
        <w:rPr>
          <w:rFonts w:ascii="Times New Roman" w:cs="Times New Roman" w:eastAsia="Times New Roman" w:hAnsi="Times New Roman"/>
          <w:b w:val="false"/>
          <w:bCs w:val="false"/>
          <w:i w:val="false"/>
          <w:iCs w:val="false"/>
          <w:sz w:val="24"/>
          <w:szCs w:val="24"/>
        </w:rPr>
        <w:t xml:space="preserve">Cuando la persona obligada al pago de alimentos incumple de manera reiterada —ya sea porque no cubre las pensiones decretadas, las cubre parcialmente o de forma extemporánea—, la autoridad judicial que conoce del asunto puede decretar el embargo de bienes suficientes para garantizar el pago de las pensiones vencidas y, en su caso, las que se sigan generando. El inmueble del deudor no queda exento de esta medida por el solo hecho de tratarse de su patrimonio personal o familiar; la protección al patrimonio cede frente al derecho de alimentos cuando se cumplen los requisitos legales para el aseguramiento.</w:t>
      </w:r>
    </w:p>
    <w:p>
      <w:pPr>
        <w:spacing w:after="200"/>
        <w:jc w:val="both"/>
      </w:pPr>
      <w:r>
        <w:rPr>
          <w:rFonts w:ascii="Times New Roman" w:cs="Times New Roman" w:eastAsia="Times New Roman" w:hAnsi="Times New Roman"/>
          <w:b w:val="false"/>
          <w:bCs w:val="false"/>
          <w:i w:val="false"/>
          <w:iCs w:val="false"/>
          <w:sz w:val="24"/>
          <w:szCs w:val="24"/>
        </w:rPr>
        <w:t xml:space="preserve">Para que proceda el embargo es indispensable acreditar la existencia y exigibilidad de la obligación, normalmente a través de un título ejecutivo: sentencia ejecutoriada, convenio judicialmente aprobado o resolución que fije alimentos provisionales o definitivos. La sola existencia de un adeudo alimentario reconocido facilita, en términos procesales, el tránsito hacia la vía de apremio.</w:t>
      </w:r>
    </w:p>
    <w:p>
      <w:pPr>
        <w:spacing w:after="150" w:before="300"/>
      </w:pPr>
      <w:r>
        <w:rPr>
          <w:rFonts w:ascii="Times New Roman" w:cs="Times New Roman" w:eastAsia="Times New Roman" w:hAnsi="Times New Roman"/>
          <w:b/>
          <w:bCs/>
          <w:sz w:val="28"/>
          <w:szCs w:val="28"/>
        </w:rPr>
        <w:t xml:space="preserve">3. La etapa de ejecución y remate</w:t>
      </w:r>
    </w:p>
    <w:p>
      <w:pPr>
        <w:spacing w:after="200"/>
        <w:jc w:val="both"/>
      </w:pPr>
      <w:r>
        <w:rPr>
          <w:rFonts w:ascii="Times New Roman" w:cs="Times New Roman" w:eastAsia="Times New Roman" w:hAnsi="Times New Roman"/>
          <w:b w:val="false"/>
          <w:bCs w:val="false"/>
          <w:i w:val="false"/>
          <w:iCs w:val="false"/>
          <w:sz w:val="24"/>
          <w:szCs w:val="24"/>
        </w:rPr>
        <w:t xml:space="preserve">Si, decretado el embargo, la deuda permanece insoluta, el procedimiento puede avanzar hacia la etapa de ejecución de sentencia, que comprende, entre otras actuaciones, el avalúo pericial del inmueble, su almoneda o subasta pública y, finalmente, el remate judicial. El producto de la venta se destina, en primer término, a cubrir el monto líquido de las pensiones alimenticias vencidas y, cuando así corresponda, los gastos y costas generados por el procedimiento.</w:t>
      </w:r>
    </w:p>
    <w:p>
      <w:pPr>
        <w:spacing w:after="200"/>
        <w:jc w:val="both"/>
      </w:pPr>
      <w:r>
        <w:rPr>
          <w:rFonts w:ascii="Times New Roman" w:cs="Times New Roman" w:eastAsia="Times New Roman" w:hAnsi="Times New Roman"/>
          <w:b w:val="false"/>
          <w:bCs w:val="false"/>
          <w:i w:val="false"/>
          <w:iCs w:val="false"/>
          <w:sz w:val="24"/>
          <w:szCs w:val="24"/>
        </w:rPr>
        <w:t xml:space="preserve">Este mecanismo no opera de forma automática. Requiere el cumplimiento puntual de las formalidades procesales: liquidación previa y aprobación judicial del monto adeudado, notificación adecuada al deudor, correcto desahogo del avalúo, publicación de edictos conforme a la legislación local aplicable y respeto al derecho de defensa del ejecutado en cada etapa.</w:t>
      </w:r>
    </w:p>
    <w:p>
      <w:pPr>
        <w:spacing w:after="150" w:before="300"/>
      </w:pPr>
      <w:r>
        <w:rPr>
          <w:rFonts w:ascii="Times New Roman" w:cs="Times New Roman" w:eastAsia="Times New Roman" w:hAnsi="Times New Roman"/>
          <w:b/>
          <w:bCs/>
          <w:sz w:val="28"/>
          <w:szCs w:val="28"/>
        </w:rPr>
        <w:t xml:space="preserve">4. Aspectos que deben analizarse en cada caso concreto</w:t>
      </w:r>
    </w:p>
    <w:p>
      <w:pPr>
        <w:pStyle w:val="ListParagraph"/>
        <w:numPr>
          <w:ilvl w:val="0"/>
          <w:numId w:val="1"/>
        </w:numPr>
        <w:spacing w:after="100"/>
      </w:pPr>
      <w:r>
        <w:rPr>
          <w:rFonts w:ascii="Times New Roman" w:cs="Times New Roman" w:eastAsia="Times New Roman" w:hAnsi="Times New Roman"/>
          <w:sz w:val="24"/>
          <w:szCs w:val="24"/>
        </w:rPr>
        <w:t xml:space="preserve">La existencia y exigibilidad de la obligación alimentaria y el instrumento del que deriva (sentencia, convenio o resolución interlocutoria).</w:t>
      </w:r>
    </w:p>
    <w:p>
      <w:pPr>
        <w:pStyle w:val="ListParagraph"/>
        <w:numPr>
          <w:ilvl w:val="0"/>
          <w:numId w:val="1"/>
        </w:numPr>
        <w:spacing w:after="100"/>
      </w:pPr>
      <w:r>
        <w:rPr>
          <w:rFonts w:ascii="Times New Roman" w:cs="Times New Roman" w:eastAsia="Times New Roman" w:hAnsi="Times New Roman"/>
          <w:sz w:val="24"/>
          <w:szCs w:val="24"/>
        </w:rPr>
        <w:t xml:space="preserve">El monto exacto de las pensiones vencidas, previa liquidación aprobada judicialmente.</w:t>
      </w:r>
    </w:p>
    <w:p>
      <w:pPr>
        <w:pStyle w:val="ListParagraph"/>
        <w:numPr>
          <w:ilvl w:val="0"/>
          <w:numId w:val="1"/>
        </w:numPr>
        <w:spacing w:after="100"/>
      </w:pPr>
      <w:r>
        <w:rPr>
          <w:rFonts w:ascii="Times New Roman" w:cs="Times New Roman" w:eastAsia="Times New Roman" w:hAnsi="Times New Roman"/>
          <w:sz w:val="24"/>
          <w:szCs w:val="24"/>
        </w:rPr>
        <w:t xml:space="preserve">Los bienes susceptibles de embargo y la proporcionalidad de la medida respecto de la deuda.</w:t>
      </w:r>
    </w:p>
    <w:p>
      <w:pPr>
        <w:pStyle w:val="ListParagraph"/>
        <w:numPr>
          <w:ilvl w:val="0"/>
          <w:numId w:val="1"/>
        </w:numPr>
        <w:spacing w:after="100"/>
      </w:pPr>
      <w:r>
        <w:rPr>
          <w:rFonts w:ascii="Times New Roman" w:cs="Times New Roman" w:eastAsia="Times New Roman" w:hAnsi="Times New Roman"/>
          <w:sz w:val="24"/>
          <w:szCs w:val="24"/>
        </w:rPr>
        <w:t xml:space="preserve">Si el inmueble se encuentra afectado a patrimonio familiar, lo que puede modular —sin impedir por sí solo— el procedimiento, según la legislación local.</w:t>
      </w:r>
    </w:p>
    <w:p>
      <w:pPr>
        <w:pStyle w:val="ListParagraph"/>
        <w:numPr>
          <w:ilvl w:val="0"/>
          <w:numId w:val="1"/>
        </w:numPr>
        <w:spacing w:after="100"/>
      </w:pPr>
      <w:r>
        <w:rPr>
          <w:rFonts w:ascii="Times New Roman" w:cs="Times New Roman" w:eastAsia="Times New Roman" w:hAnsi="Times New Roman"/>
          <w:sz w:val="24"/>
          <w:szCs w:val="24"/>
        </w:rPr>
        <w:t xml:space="preserve">El cumplimiento de las reglas de avalúo, almoneda y publicación de edictos vigentes en la entidad correspondiente.</w:t>
      </w:r>
    </w:p>
    <w:p>
      <w:pPr>
        <w:pStyle w:val="ListParagraph"/>
        <w:numPr>
          <w:ilvl w:val="0"/>
          <w:numId w:val="1"/>
        </w:numPr>
        <w:spacing w:after="100"/>
      </w:pPr>
      <w:r>
        <w:rPr>
          <w:rFonts w:ascii="Times New Roman" w:cs="Times New Roman" w:eastAsia="Times New Roman" w:hAnsi="Times New Roman"/>
          <w:sz w:val="24"/>
          <w:szCs w:val="24"/>
        </w:rPr>
        <w:t xml:space="preserve">Las vías de defensa disponibles para el deudor y su correcto ejercicio dentro de los plazos procesales.</w:t>
      </w:r>
    </w:p>
    <w:p>
      <w:pPr>
        <w:spacing w:after="150" w:before="300"/>
      </w:pPr>
      <w:r>
        <w:rPr>
          <w:rFonts w:ascii="Times New Roman" w:cs="Times New Roman" w:eastAsia="Times New Roman" w:hAnsi="Times New Roman"/>
          <w:b/>
          <w:bCs/>
          <w:sz w:val="28"/>
          <w:szCs w:val="28"/>
        </w:rPr>
        <w:t xml:space="preserve">5. Consideración final</w:t>
      </w:r>
    </w:p>
    <w:p>
      <w:pPr>
        <w:spacing w:after="200"/>
        <w:jc w:val="both"/>
      </w:pPr>
      <w:r>
        <w:rPr>
          <w:rFonts w:ascii="Times New Roman" w:cs="Times New Roman" w:eastAsia="Times New Roman" w:hAnsi="Times New Roman"/>
          <w:b w:val="false"/>
          <w:bCs w:val="false"/>
          <w:i w:val="false"/>
          <w:iCs w:val="false"/>
          <w:sz w:val="24"/>
          <w:szCs w:val="24"/>
        </w:rPr>
        <w:t xml:space="preserve">La ejecución de una deuda alimentaria mediante embargo y remate de inmuebles es, ante todo, un mecanismo para hacer efectivo un derecho humano: el de recibir alimentos. Por ello, tanto para quien busca hacer valer su crédito alimentario como para quien enfrenta un procedimiento de esta naturaleza, resulta indispensable una estrategia jurídica que atienda con precisión cada etapa procesal, desde el reconocimiento de la deuda hasta la correcta ejecución de la resolución judicial.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4"/>
      </w:pBdr>
      <w:jc w:val="center"/>
    </w:pPr>
    <w:r>
      <w:rPr>
        <w:rFonts w:ascii="Times New Roman" w:cs="Times New Roman" w:eastAsia="Times New Roman" w:hAnsi="Times New Roman"/>
        <w:sz w:val="20"/>
        <w:szCs w:val="20"/>
      </w:rPr>
      <w:t xml:space="preserve">Documento elaborado por la Licenciada Gabriela Caballero Jaquez. Teléfono 55-33-32-72-60. Correo electrónico gabycj72@gmail.com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w:t>
    </w:r>
    <w:r>
      <w:rPr>
        <w:rFonts w:ascii="Times New Roman" w:cs="Times New Roman" w:eastAsia="Times New Roman" w:hAnsi="Times New Roman"/>
        <w:sz w:val="20"/>
        <w:szCs w:val="20"/>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2026-09-09T23:39:37.977Z</dcterms:created>
  <dcterms:modified xsi:type="dcterms:W3CDTF">2026-09-09T23:39:37.978Z</dcterms:modified>
</cp:coreProperties>
</file>

<file path=docProps/custom.xml><?xml version="1.0" encoding="utf-8"?>
<Properties xmlns="http://schemas.openxmlformats.org/officeDocument/2006/custom-properties" xmlns:vt="http://schemas.openxmlformats.org/officeDocument/2006/docPropsVTypes"/>
</file>