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eorgia" w:cs="Georgia" w:eastAsia="Georgia" w:hAnsi="Georgia"/>
          <w:b/>
          <w:bCs/>
          <w:color w:val="7B241C"/>
          <w:sz w:val="27"/>
          <w:szCs w:val="27"/>
        </w:rPr>
        <w:t xml:space="preserve">EL DESPOJO INMOBILIARIO EN LA CIUDAD DE MÉXICO</w:t>
      </w:r>
    </w:p>
    <w:p>
      <w:pPr>
        <w:spacing w:after="200"/>
        <w:jc w:val="center"/>
      </w:pPr>
      <w:r>
        <w:rPr>
          <w:rFonts w:ascii="Georgia" w:cs="Georgia" w:eastAsia="Georgia" w:hAnsi="Georgia"/>
          <w:i/>
          <w:iCs/>
          <w:color w:val="555555"/>
          <w:sz w:val="19"/>
          <w:szCs w:val="19"/>
        </w:rPr>
        <w:t xml:space="preserve">Panorama actual, marco normativo y estrategias de defensa patrimonial</w:t>
      </w:r>
    </w:p>
    <w:p>
      <w:pPr>
        <w:pBdr>
          <w:bottom w:val="single" w:color="7B241C" w:sz="4" w:space="2"/>
        </w:pBdr>
        <w:spacing w:after="100" w:before="200"/>
      </w:pPr>
      <w:r>
        <w:rPr>
          <w:rFonts w:ascii="Georgia" w:cs="Georgia" w:eastAsia="Georgia" w:hAnsi="Georgia"/>
          <w:b/>
          <w:bCs/>
          <w:color w:val="7B241C"/>
          <w:sz w:val="21"/>
          <w:szCs w:val="21"/>
        </w:rPr>
        <w:t xml:space="preserve">I. Planteamiento del problema</w:t>
      </w:r>
    </w:p>
    <w:p>
      <w:pPr>
        <w:spacing w:after="120" w:line="264"/>
        <w:jc w:val="both"/>
      </w:pPr>
      <w:r>
        <w:rPr>
          <w:rFonts w:ascii="Garamond" w:cs="Garamond" w:eastAsia="Garamond" w:hAnsi="Garamond"/>
          <w:sz w:val="19"/>
          <w:szCs w:val="19"/>
        </w:rPr>
        <w:t xml:space="preserve">El despojo de inmuebles se ha consolidado como uno de los delitos patrimoniales de mayor incidencia en la Ciudad de México. Conforme a cifras del Secretariado Ejecutivo del Sistema Nacional de Seguridad Pública (SESNSP), de enero de 2025 a junio de 2026 la capital acumuló 5,763 carpetas de investigación por este delito, lo que en conjunto con el Estado de México representa el 31.1% de los casos registrados a nivel nacional. La Fiscalía General de Justicia de la Ciudad de México (FGJCDMX) reportó, además, mil 978 carpetas abiertas solo en el primer semestre de 2026, un incremento del 4% frente al mismo periodo de 2025, con un promedio histórico de entre 9 y 10 denuncias diarias en la última década.</w:t>
      </w:r>
    </w:p>
    <w:p>
      <w:pPr>
        <w:spacing w:after="120" w:line="264"/>
        <w:jc w:val="both"/>
      </w:pPr>
      <w:r>
        <w:rPr>
          <w:rFonts w:ascii="Garamond" w:cs="Garamond" w:eastAsia="Garamond" w:hAnsi="Garamond"/>
          <w:sz w:val="19"/>
          <w:szCs w:val="19"/>
        </w:rPr>
        <w:t xml:space="preserve">Las alcaldías Cuauhtémoc, Benito Juárez, Iztapalapa, Gustavo A. Madero y Venustiano Carranza concentran el mayor número de denuncias, con casos documentados de redes delictivas organizadas —como la identificada en la colonia Del Valle desde 2023— que operan mediante violencia física, documentación apócrifa y suplantación de identidad para desposeer a propietarios, incluyendo adultos mayores y personas en situación de vulnerabilidad.</w:t>
      </w:r>
    </w:p>
    <w:p>
      <w:pPr>
        <w:pBdr>
          <w:bottom w:val="single" w:color="7B241C" w:sz="4" w:space="2"/>
        </w:pBdr>
        <w:spacing w:after="100" w:before="200"/>
      </w:pPr>
      <w:r>
        <w:rPr>
          <w:rFonts w:ascii="Georgia" w:cs="Georgia" w:eastAsia="Georgia" w:hAnsi="Georgia"/>
          <w:b/>
          <w:bCs/>
          <w:color w:val="7B241C"/>
          <w:sz w:val="21"/>
          <w:szCs w:val="21"/>
        </w:rPr>
        <w:t xml:space="preserve">II. Marco jurídico aplicable</w:t>
      </w:r>
    </w:p>
    <w:p>
      <w:pPr>
        <w:spacing w:after="120" w:line="264"/>
        <w:jc w:val="both"/>
      </w:pPr>
      <w:r>
        <w:rPr>
          <w:rFonts w:ascii="Garamond" w:cs="Garamond" w:eastAsia="Garamond" w:hAnsi="Garamond"/>
          <w:sz w:val="19"/>
          <w:szCs w:val="19"/>
        </w:rPr>
        <w:t xml:space="preserve">El artículo 237 del Código Penal para el Distrito Federal tipifica el despojo como la conducta de quien, por propia autoridad, mediante violencia física o moral, engaño, simulación de actos jurídicos, suplantación de identidad u ocupación furtiva, se apodere de un inmueble ajeno, haga uso de él o de un derecho real que no le corresponda, o impida su disfrute material.</w:t>
      </w:r>
    </w:p>
    <w:p>
      <w:pPr>
        <w:spacing w:after="120" w:line="264"/>
        <w:jc w:val="both"/>
      </w:pPr>
      <w:r>
        <w:rPr>
          <w:rFonts w:ascii="Garamond" w:cs="Garamond" w:eastAsia="Garamond" w:hAnsi="Garamond"/>
          <w:sz w:val="19"/>
          <w:szCs w:val="19"/>
        </w:rPr>
        <w:t xml:space="preserve">La reforma aprobada por el Congreso de la Ciudad de México en noviembre de 2025 —impulsada por la Jefatura de Gobierno— endureció sustancialmente el régimen sancionador: la pena base pasó a de 6 a 11 años de prisión y de 200 a 1,000 UMA; en presencia de agravantes (víctima adulta mayor, mujer embarazada, persona indígena, con discapacidad o menor de edad; inmuebles en suelo de conservación o con valor patrimonial) la pena puede alcanzar hasta 22 años de prisión y sanciones de hasta 4,000 UMA. Se equiparó también al despojo la permanencia en el inmueble pese a requerimiento de autoridad competente, y se sancionó de forma agravada la reiteración delictiva. La reforma modificó, en paralelo, el Código Civil, la Ley Registral y la Ley del Notariado para el Distrito Federal, con el fin de dificultar la inscripción y protocolización de actos fraudulentos.</w:t>
      </w:r>
    </w:p>
    <w:p>
      <w:pPr>
        <w:pBdr>
          <w:bottom w:val="single" w:color="7B241C" w:sz="4" w:space="2"/>
        </w:pBdr>
        <w:spacing w:after="100" w:before="200"/>
      </w:pPr>
      <w:r>
        <w:rPr>
          <w:rFonts w:ascii="Georgia" w:cs="Georgia" w:eastAsia="Georgia" w:hAnsi="Georgia"/>
          <w:b/>
          <w:bCs/>
          <w:color w:val="7B241C"/>
          <w:sz w:val="21"/>
          <w:szCs w:val="21"/>
        </w:rPr>
        <w:t xml:space="preserve">III. Respuesta institucional</w:t>
      </w:r>
    </w:p>
    <w:p>
      <w:pPr>
        <w:spacing w:after="120" w:line="264"/>
        <w:jc w:val="both"/>
      </w:pPr>
      <w:r>
        <w:rPr>
          <w:rFonts w:ascii="Garamond" w:cs="Garamond" w:eastAsia="Garamond" w:hAnsi="Garamond"/>
          <w:sz w:val="19"/>
          <w:szCs w:val="19"/>
        </w:rPr>
        <w:t xml:space="preserve">El Gobierno capitalino presentó la "Estrategia contra el Despojo de Inmuebles para la Defensa del Patrimonio de las Familias", que incluyó la creación de la Unidad Operativa Especializada contra el Despojo, adscrita a la Secretaría de Gobierno. La FGJCDMX, a cargo de la fiscal Bertha Alcalde Luján, reportó el aseguramiento de 265 inmuebles despojados, con 196 restituidos a sus propietarios y 94 personas detenidas en flagrancia. No obstante, especialistas en la materia señalan que la tasa de resolución efectiva permanece baja frente al volumen de denuncias, lo que evidencia rezago en la capacidad de respuesta procesal.</w:t>
      </w:r>
    </w:p>
    <w:p>
      <w:pPr>
        <w:pBdr>
          <w:bottom w:val="single" w:color="7B241C" w:sz="4" w:space="2"/>
        </w:pBdr>
        <w:spacing w:after="100" w:before="200"/>
      </w:pPr>
      <w:r>
        <w:rPr>
          <w:rFonts w:ascii="Georgia" w:cs="Georgia" w:eastAsia="Georgia" w:hAnsi="Georgia"/>
          <w:b/>
          <w:bCs/>
          <w:color w:val="7B241C"/>
          <w:sz w:val="21"/>
          <w:szCs w:val="21"/>
        </w:rPr>
        <w:t xml:space="preserve">IV. Vías de defensa para el propietario afectado</w:t>
      </w:r>
    </w:p>
    <w:p>
      <w:pPr>
        <w:pStyle w:val="ListParagraph"/>
        <w:numPr>
          <w:ilvl w:val="0"/>
          <w:numId w:val="1"/>
        </w:numPr>
        <w:spacing w:after="60" w:line="250"/>
        <w:jc w:val="both"/>
      </w:pPr>
      <w:r>
        <w:rPr>
          <w:rFonts w:ascii="Garamond" w:cs="Garamond" w:eastAsia="Garamond" w:hAnsi="Garamond"/>
          <w:sz w:val="19"/>
          <w:szCs w:val="19"/>
        </w:rPr>
        <w:t xml:space="preserve">Querella penal ante la Fiscalía Territorial o la Unidad Especializada contra el Despojo, acompañada de acreditación fehaciente de la propiedad o posesión originaria.</w:t>
      </w:r>
    </w:p>
    <w:p>
      <w:pPr>
        <w:pStyle w:val="ListParagraph"/>
        <w:numPr>
          <w:ilvl w:val="0"/>
          <w:numId w:val="1"/>
        </w:numPr>
        <w:spacing w:after="60" w:line="250"/>
        <w:jc w:val="both"/>
      </w:pPr>
      <w:r>
        <w:rPr>
          <w:rFonts w:ascii="Garamond" w:cs="Garamond" w:eastAsia="Garamond" w:hAnsi="Garamond"/>
          <w:sz w:val="19"/>
          <w:szCs w:val="19"/>
        </w:rPr>
        <w:t xml:space="preserve">Interdicto de recuperar la posesión (vía civil sumaria) cuando el despojo derive de conflicto entre particulares y no medie flagrancia que permita la vía penal inmediata.</w:t>
      </w:r>
    </w:p>
    <w:p>
      <w:pPr>
        <w:pStyle w:val="ListParagraph"/>
        <w:numPr>
          <w:ilvl w:val="0"/>
          <w:numId w:val="1"/>
        </w:numPr>
        <w:spacing w:after="60" w:line="250"/>
        <w:jc w:val="both"/>
      </w:pPr>
      <w:r>
        <w:rPr>
          <w:rFonts w:ascii="Garamond" w:cs="Garamond" w:eastAsia="Garamond" w:hAnsi="Garamond"/>
          <w:sz w:val="19"/>
          <w:szCs w:val="19"/>
        </w:rPr>
        <w:t xml:space="preserve">Medidas cautelares de aseguramiento del inmueble y solicitud de restitución anticipada durante la carpeta de investigación.</w:t>
      </w:r>
    </w:p>
    <w:p>
      <w:pPr>
        <w:pStyle w:val="ListParagraph"/>
        <w:numPr>
          <w:ilvl w:val="0"/>
          <w:numId w:val="1"/>
        </w:numPr>
        <w:spacing w:after="60" w:line="250"/>
        <w:jc w:val="both"/>
      </w:pPr>
      <w:r>
        <w:rPr>
          <w:rFonts w:ascii="Garamond" w:cs="Garamond" w:eastAsia="Garamond" w:hAnsi="Garamond"/>
          <w:sz w:val="19"/>
          <w:szCs w:val="19"/>
        </w:rPr>
        <w:t xml:space="preserve">Amparo indirecto contra actos de autoridad que convaliden o toleren la ocupación irregular, cuando exista afectación a garantías de audiencia y propiedad.</w:t>
      </w:r>
    </w:p>
    <w:p>
      <w:pPr>
        <w:pStyle w:val="ListParagraph"/>
        <w:numPr>
          <w:ilvl w:val="0"/>
          <w:numId w:val="1"/>
        </w:numPr>
        <w:spacing w:after="60" w:line="250"/>
        <w:jc w:val="both"/>
      </w:pPr>
      <w:r>
        <w:rPr>
          <w:rFonts w:ascii="Garamond" w:cs="Garamond" w:eastAsia="Garamond" w:hAnsi="Garamond"/>
          <w:sz w:val="19"/>
          <w:szCs w:val="19"/>
        </w:rPr>
        <w:t xml:space="preserve">Verificación registral y notarial previa a cualquier operación inmobiliaria, dada la incorporación de la simulación de actos jurídicos y la suplantación de identidad como modalidades típicas.</w:t>
      </w:r>
    </w:p>
    <w:p>
      <w:pPr>
        <w:pBdr>
          <w:bottom w:val="single" w:color="7B241C" w:sz="4" w:space="2"/>
        </w:pBdr>
        <w:spacing w:after="100" w:before="200"/>
      </w:pPr>
      <w:r>
        <w:rPr>
          <w:rFonts w:ascii="Georgia" w:cs="Georgia" w:eastAsia="Georgia" w:hAnsi="Georgia"/>
          <w:b/>
          <w:bCs/>
          <w:color w:val="7B241C"/>
          <w:sz w:val="21"/>
          <w:szCs w:val="21"/>
        </w:rPr>
        <w:t xml:space="preserve">V. Conclusión</w:t>
      </w:r>
    </w:p>
    <w:p>
      <w:pPr>
        <w:spacing w:after="120" w:line="264"/>
        <w:jc w:val="both"/>
      </w:pPr>
      <w:r>
        <w:rPr>
          <w:rFonts w:ascii="Garamond" w:cs="Garamond" w:eastAsia="Garamond" w:hAnsi="Garamond"/>
          <w:sz w:val="19"/>
          <w:szCs w:val="19"/>
        </w:rPr>
        <w:t xml:space="preserve">El fenómeno del despojo en la Ciudad de México combina componentes de criminalidad organizada, litigio civil entre particulares y fallas estructurales en el sistema registral. El endurecimiento penal de noviembre de 2025 amplía las herramientas de persecución del delito, pero la defensa patrimonial efectiva exige actuación preventiva —verificación registral, vigilancia de inmuebles desocupados, denuncia oportuna— combinada con el ejercicio simultáneo de las vías penal y civil disponibles.</w:t>
      </w:r>
    </w:p>
    <w:sectPr>
      <w:headerReference w:type="default" r:id="rId7"/>
      <w:footerReference w:type="default" r:id="rId8"/>
      <w:pgSz w:w="12240" w:h="15840" w:orient="portrait"/>
      <w:pgMar w:top="13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right"/>
    </w:pPr>
    <w:r>
      <w:rPr>
        <w:i/>
        <w:iCs/>
        <w:color w:val="666666"/>
        <w:sz w:val="13"/>
        <w:szCs w:val="13"/>
      </w:rPr>
      <w:t xml:space="preserve">Documento revisado por el Maestro en Derecho de las Empresas Juan Carlos Manzanero Larios</w:t>
    </w:r>
  </w:p>
  <w:p>
    <w:pPr>
      <w:spacing w:after="0"/>
      <w:jc w:val="right"/>
    </w:pPr>
    <w:r>
      <w:rPr>
        <w:i/>
        <w:iCs/>
        <w:color w:val="666666"/>
        <w:sz w:val="13"/>
        <w:szCs w:val="13"/>
      </w:rPr>
      <w:t xml:space="preserve">Número telefónico: 55-3400-9918</w:t>
    </w:r>
  </w:p>
  <w:p>
    <w:pPr>
      <w:jc w:val="right"/>
    </w:pPr>
    <w:r>
      <w:rPr>
        <w:i/>
        <w:iCs/>
        <w:color w:val="666666"/>
        <w:sz w:val="13"/>
        <w:szCs w:val="13"/>
      </w:rPr>
      <w:t xml:space="preserve">Correo electrónico: juancarlosmanzanero@gmail.com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B241C" w:sz="6" w:space="4"/>
      </w:pBdr>
      <w:tabs>
        <w:tab w:val="right" w:pos="9640"/>
      </w:tabs>
    </w:pPr>
    <w:r>
      <w:rPr>
        <w:rFonts w:ascii="Georgia" w:cs="Georgia" w:eastAsia="Georgia" w:hAnsi="Georgia"/>
        <w:b/>
        <w:bCs/>
        <w:color w:val="7B241C"/>
        <w:sz w:val="18"/>
        <w:szCs w:val="18"/>
      </w:rPr>
      <w:t xml:space="preserve">Dictamen Legal</w:t>
    </w:r>
    <w:r>
      <w:t xml:space="preserve">	</w:t>
    </w:r>
    <w:r>
      <w:rPr>
        <w:color w:val="555555"/>
        <w:sz w:val="16"/>
        <w:szCs w:val="16"/>
      </w:rPr>
      <w:t xml:space="preserve">Página </w:t>
    </w:r>
    <w:r>
      <w:rPr>
        <w:color w:val="555555"/>
        <w:sz w:val="16"/>
        <w:szCs w:val="16"/>
      </w:rPr>
      <w:fldChar w:fldCharType="begin"/>
      <w:instrText xml:space="preserve">PAGE</w:instrText>
      <w:fldChar w:fldCharType="separate"/>
      <w:fldChar w:fldCharType="end"/>
    </w:r>
    <w:r>
      <w:rPr>
        <w:color w:val="555555"/>
        <w:sz w:val="16"/>
        <w:szCs w:val="16"/>
      </w:rPr>
      <w:t xml:space="preserve">/</w:t>
    </w:r>
    <w:r>
      <w:rPr>
        <w:color w:val="555555"/>
        <w:sz w:val="16"/>
        <w:szCs w:val="16"/>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2026-08-27T01:19:05.003Z</dcterms:created>
  <dcterms:modified xsi:type="dcterms:W3CDTF">2026-08-27T01:19:05.003Z</dcterms:modified>
</cp:coreProperties>
</file>

<file path=docProps/custom.xml><?xml version="1.0" encoding="utf-8"?>
<Properties xmlns="http://schemas.openxmlformats.org/officeDocument/2006/custom-properties" xmlns:vt="http://schemas.openxmlformats.org/officeDocument/2006/docPropsVTypes"/>
</file>