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Georgia" w:cs="Georgia" w:eastAsia="Georgia" w:hAnsi="Georgia"/>
          <w:b/>
          <w:bCs/>
          <w:color w:val="1F3864"/>
          <w:sz w:val="32"/>
          <w:szCs w:val="32"/>
        </w:rPr>
        <w:t xml:space="preserve">Personas Adultas Mayores: Protección Jurídica Reforzada, Autonomía y Acceso Efectivo a la Justicia</w:t>
      </w:r>
    </w:p>
    <w:p>
      <w:pPr>
        <w:pBdr>
          <w:bottom w:val="single" w:color="1F3864" w:sz="8" w:space="8"/>
        </w:pBdr>
        <w:spacing w:after="300"/>
      </w:pPr>
    </w:p>
    <w:p>
      <w:pPr>
        <w:pStyle w:val="Heading1"/>
        <w:spacing w:after="160" w:before="320"/>
      </w:pPr>
      <w:r>
        <w:t xml:space="preserve">Introducción</w:t>
      </w:r>
    </w:p>
    <w:p>
      <w:pPr>
        <w:spacing w:after="160" w:line="300"/>
        <w:jc w:val="both"/>
      </w:pPr>
      <w:r>
        <w:rPr>
          <w:b w:val="false"/>
          <w:bCs w:val="false"/>
          <w:i w:val="false"/>
          <w:iCs w:val="false"/>
        </w:rPr>
        <w:t xml:space="preserve">El envejecimiento constituye una etapa inherente al desarrollo humano y, jurídicamente, no puede ser considerado una causa de disminución de derechos, capacidad jurídica o autonomía personal.</w:t>
      </w:r>
    </w:p>
    <w:p>
      <w:pPr>
        <w:spacing w:after="160" w:line="300"/>
        <w:jc w:val="both"/>
      </w:pPr>
      <w:r>
        <w:rPr>
          <w:b w:val="false"/>
          <w:bCs w:val="false"/>
          <w:i w:val="false"/>
          <w:iCs w:val="false"/>
        </w:rPr>
        <w:t xml:space="preserve">En México, las personas adultas mayores son titulares de todos los derechos reconocidos por la Constitución Política de los Estados Unidos Mexicanos, los tratados internacionales y las leyes nacionales. Sin embargo, determinadas circunstancias personales, familiares, económicas o sociales pueden colocarlas en una situación de vulnerabilidad que exige una protección jurídica reforzada.</w:t>
      </w:r>
    </w:p>
    <w:p>
      <w:pPr>
        <w:spacing w:after="160" w:line="300"/>
        <w:jc w:val="both"/>
      </w:pPr>
      <w:r>
        <w:rPr>
          <w:b w:val="false"/>
          <w:bCs w:val="false"/>
          <w:i w:val="false"/>
          <w:iCs w:val="false"/>
        </w:rPr>
        <w:t xml:space="preserve">Esta protección no implica sustituir la voluntad de la persona adulta mayor ni presumir su incapacidad. Por el contrario, exige garantizar condiciones que permitan el ejercicio efectivo de sus derechos, respetando en todo momento su dignidad, autonomía y capacidad jurídica.</w:t>
      </w:r>
    </w:p>
    <w:p>
      <w:pPr>
        <w:pStyle w:val="Heading1"/>
        <w:spacing w:after="160" w:before="320"/>
      </w:pPr>
      <w:r>
        <w:t xml:space="preserve">Marco constitucional y convencional</w:t>
      </w:r>
    </w:p>
    <w:p>
      <w:pPr>
        <w:spacing w:after="160" w:line="300"/>
        <w:jc w:val="both"/>
      </w:pPr>
      <w:r>
        <w:rPr>
          <w:b w:val="false"/>
          <w:bCs w:val="false"/>
          <w:i w:val="false"/>
          <w:iCs w:val="false"/>
        </w:rPr>
        <w:t xml:space="preserve">El artículo 1° constitucional constituye el punto de partida para la protección jurídica de las personas adultas mayores.</w:t>
      </w:r>
    </w:p>
    <w:p>
      <w:pPr>
        <w:spacing w:after="160" w:line="300"/>
        <w:jc w:val="both"/>
      </w:pPr>
      <w:r>
        <w:rPr>
          <w:b w:val="false"/>
          <w:bCs w:val="false"/>
          <w:i w:val="false"/>
          <w:iCs w:val="false"/>
        </w:rPr>
        <w:t xml:space="preserve">La prohibición de toda forma de discriminación comprende expresamente aquella basada en la edad y obliga a todas las autoridades, dentro del ámbito de sus competencias, a promover, respetar, proteger y garantizar los derechos humanos.</w:t>
      </w:r>
    </w:p>
    <w:p>
      <w:pPr>
        <w:spacing w:after="160" w:line="300"/>
        <w:jc w:val="both"/>
      </w:pPr>
      <w:r>
        <w:rPr>
          <w:b w:val="false"/>
          <w:bCs w:val="false"/>
          <w:i w:val="false"/>
          <w:iCs w:val="false"/>
        </w:rPr>
        <w:t xml:space="preserve">Asimismo, el parámetro de regularidad constitucional exige interpretar los derechos de las personas adultas mayores a la luz de los tratados internacionales en materia de derechos humanos de los que México es parte.</w:t>
      </w:r>
    </w:p>
    <w:p>
      <w:pPr>
        <w:spacing w:after="160" w:line="300"/>
      </w:pPr>
      <w:r>
        <w:rPr>
          <w:b w:val="false"/>
          <w:bCs w:val="false"/>
          <w:i w:val="false"/>
          <w:iCs w:val="false"/>
        </w:rPr>
        <w:t xml:space="preserve">En este contexto, resultan particularmente relevantes los siguientes principios:</w:t>
      </w:r>
    </w:p>
    <w:p>
      <w:pPr>
        <w:pStyle w:val="ListParagraph"/>
        <w:numPr>
          <w:ilvl w:val="0"/>
          <w:numId w:val="2"/>
        </w:numPr>
        <w:spacing w:after="80" w:line="300"/>
      </w:pPr>
      <w:r>
        <w:t xml:space="preserve">Dignidad humana.</w:t>
      </w:r>
    </w:p>
    <w:p>
      <w:pPr>
        <w:pStyle w:val="ListParagraph"/>
        <w:numPr>
          <w:ilvl w:val="0"/>
          <w:numId w:val="2"/>
        </w:numPr>
        <w:spacing w:after="80" w:line="300"/>
      </w:pPr>
      <w:r>
        <w:t xml:space="preserve">Igualdad y no discriminación.</w:t>
      </w:r>
    </w:p>
    <w:p>
      <w:pPr>
        <w:pStyle w:val="ListParagraph"/>
        <w:numPr>
          <w:ilvl w:val="0"/>
          <w:numId w:val="2"/>
        </w:numPr>
        <w:spacing w:after="80" w:line="300"/>
      </w:pPr>
      <w:r>
        <w:t xml:space="preserve">Autonomía personal.</w:t>
      </w:r>
    </w:p>
    <w:p>
      <w:pPr>
        <w:pStyle w:val="ListParagraph"/>
        <w:numPr>
          <w:ilvl w:val="0"/>
          <w:numId w:val="2"/>
        </w:numPr>
        <w:spacing w:after="80" w:line="300"/>
      </w:pPr>
      <w:r>
        <w:t xml:space="preserve">Capacidad jurídica.</w:t>
      </w:r>
    </w:p>
    <w:p>
      <w:pPr>
        <w:pStyle w:val="ListParagraph"/>
        <w:numPr>
          <w:ilvl w:val="0"/>
          <w:numId w:val="2"/>
        </w:numPr>
        <w:spacing w:after="80" w:line="300"/>
      </w:pPr>
      <w:r>
        <w:t xml:space="preserve">Acceso efectivo a la justicia.</w:t>
      </w:r>
    </w:p>
    <w:p>
      <w:pPr>
        <w:pStyle w:val="ListParagraph"/>
        <w:numPr>
          <w:ilvl w:val="0"/>
          <w:numId w:val="2"/>
        </w:numPr>
        <w:spacing w:after="80" w:line="300"/>
      </w:pPr>
      <w:r>
        <w:t xml:space="preserve">Tutela judicial efectiva.</w:t>
      </w:r>
    </w:p>
    <w:p>
      <w:pPr>
        <w:pStyle w:val="ListParagraph"/>
        <w:numPr>
          <w:ilvl w:val="0"/>
          <w:numId w:val="2"/>
        </w:numPr>
        <w:spacing w:after="80" w:line="300"/>
      </w:pPr>
      <w:r>
        <w:t xml:space="preserve">Debida diligencia.</w:t>
      </w:r>
    </w:p>
    <w:p>
      <w:pPr>
        <w:pStyle w:val="ListParagraph"/>
        <w:numPr>
          <w:ilvl w:val="0"/>
          <w:numId w:val="2"/>
        </w:numPr>
        <w:spacing w:after="80" w:line="300"/>
      </w:pPr>
      <w:r>
        <w:t xml:space="preserve">Protección frente a la violencia, abuso y explotación.</w:t>
      </w:r>
    </w:p>
    <w:p>
      <w:pPr>
        <w:pStyle w:val="ListParagraph"/>
        <w:numPr>
          <w:ilvl w:val="0"/>
          <w:numId w:val="2"/>
        </w:numPr>
        <w:spacing w:after="80" w:line="300"/>
      </w:pPr>
      <w:r>
        <w:t xml:space="preserve">Igualdad sustantiva.</w:t>
      </w:r>
    </w:p>
    <w:p>
      <w:pPr>
        <w:spacing w:after="160" w:line="300"/>
        <w:jc w:val="both"/>
      </w:pPr>
      <w:r>
        <w:rPr>
          <w:b w:val="false"/>
          <w:bCs w:val="false"/>
          <w:i w:val="false"/>
          <w:iCs w:val="false"/>
        </w:rPr>
        <w:t xml:space="preserve">La Ley de los Derechos de las Personas Adultas Mayores constituye, a su vez, un ordenamiento especializado que reconoce derechos y establece bases para la protección integral de este sector de la población.</w:t>
      </w:r>
    </w:p>
    <w:p>
      <w:pPr>
        <w:pStyle w:val="Heading1"/>
        <w:spacing w:after="160" w:before="320"/>
      </w:pPr>
      <w:r>
        <w:t xml:space="preserve">Vulnerabilidad y capacidad jurídica: una distinción fundamental</w:t>
      </w:r>
    </w:p>
    <w:p>
      <w:pPr>
        <w:spacing w:after="160" w:line="300"/>
        <w:jc w:val="both"/>
      </w:pPr>
      <w:r>
        <w:rPr>
          <w:b w:val="false"/>
          <w:bCs w:val="false"/>
          <w:i w:val="false"/>
          <w:iCs w:val="false"/>
        </w:rPr>
        <w:t xml:space="preserve">Desde una perspectiva estrictamente jurídica, debe evitarse equiparar vejez con incapacidad.</w:t>
      </w:r>
    </w:p>
    <w:p>
      <w:pPr>
        <w:spacing w:after="160" w:line="300"/>
        <w:jc w:val="both"/>
      </w:pPr>
      <w:r>
        <w:rPr>
          <w:b w:val="false"/>
          <w:bCs w:val="false"/>
          <w:i w:val="false"/>
          <w:iCs w:val="false"/>
        </w:rPr>
        <w:t xml:space="preserve">Una persona puede encontrarse en una situación de vulnerabilidad debido a factores económicos, familiares, sociales, físicos o de otra naturaleza y, simultáneamente, conservar plenamente su capacidad para tomar decisiones.</w:t>
      </w:r>
    </w:p>
    <w:p>
      <w:pPr>
        <w:spacing w:after="160" w:line="300"/>
        <w:jc w:val="both"/>
      </w:pPr>
      <w:r>
        <w:rPr>
          <w:b w:val="false"/>
          <w:bCs w:val="false"/>
          <w:i w:val="false"/>
          <w:iCs w:val="false"/>
        </w:rPr>
        <w:t xml:space="preserve">Por ello, la intervención de las autoridades y de los profesionales del derecho debe orientarse a eliminar barreras, proporcionar apoyos y prevenir abusos, antes que a sustituir la voluntad de la persona.</w:t>
      </w:r>
    </w:p>
    <w:p>
      <w:pPr>
        <w:spacing w:after="160" w:line="300"/>
        <w:jc w:val="both"/>
      </w:pPr>
      <w:r>
        <w:rPr>
          <w:b w:val="false"/>
          <w:bCs w:val="false"/>
          <w:i w:val="false"/>
          <w:iCs w:val="false"/>
        </w:rPr>
        <w:t xml:space="preserve">Este principio adquiere especial relevancia en asuntos relacionados con patrimonio, sucesiones, actos jurídicos, decisiones familiares y procedimientos judiciales.</w:t>
      </w:r>
    </w:p>
    <w:p>
      <w:pPr>
        <w:spacing w:after="160" w:line="300"/>
        <w:jc w:val="both"/>
      </w:pPr>
      <w:r>
        <w:rPr>
          <w:b w:val="false"/>
          <w:bCs w:val="false"/>
          <w:i w:val="false"/>
          <w:iCs w:val="false"/>
        </w:rPr>
        <w:t xml:space="preserve">La edad, por sí misma, no constituye una justificación suficiente para desconocer la voluntad de una persona adulta mayor.</w:t>
      </w:r>
    </w:p>
    <w:p>
      <w:pPr>
        <w:pStyle w:val="Heading1"/>
        <w:spacing w:after="160" w:before="320"/>
      </w:pPr>
      <w:r>
        <w:t xml:space="preserve">Derecho a una vida libre de violencia</w:t>
      </w:r>
    </w:p>
    <w:p>
      <w:pPr>
        <w:spacing w:after="160" w:line="300"/>
        <w:jc w:val="both"/>
      </w:pPr>
      <w:r>
        <w:rPr>
          <w:b w:val="false"/>
          <w:bCs w:val="false"/>
          <w:i w:val="false"/>
          <w:iCs w:val="false"/>
        </w:rPr>
        <w:t xml:space="preserve">La violencia contra las personas adultas mayores constituye una problemática que puede adquirir diversas modalidades.</w:t>
      </w:r>
    </w:p>
    <w:p>
      <w:pPr>
        <w:spacing w:after="160" w:line="300"/>
      </w:pPr>
      <w:r>
        <w:rPr>
          <w:b w:val="false"/>
          <w:bCs w:val="false"/>
          <w:i w:val="false"/>
          <w:iCs w:val="false"/>
        </w:rPr>
        <w:t xml:space="preserve">Además de la violencia física o psicológica, pueden presentarse las siguientes conductas:</w:t>
      </w:r>
    </w:p>
    <w:p>
      <w:pPr>
        <w:pStyle w:val="ListParagraph"/>
        <w:numPr>
          <w:ilvl w:val="0"/>
          <w:numId w:val="2"/>
        </w:numPr>
        <w:spacing w:after="80" w:line="300"/>
      </w:pPr>
      <w:r>
        <w:t xml:space="preserve">Económico: utilización, retención o control indebido de recursos económicos.</w:t>
      </w:r>
    </w:p>
    <w:p>
      <w:pPr>
        <w:pStyle w:val="ListParagraph"/>
        <w:numPr>
          <w:ilvl w:val="0"/>
          <w:numId w:val="2"/>
        </w:numPr>
        <w:spacing w:after="80" w:line="300"/>
      </w:pPr>
      <w:r>
        <w:t xml:space="preserve">Patrimonial: afectación, sustracción, administración indebida o disposición ilegítima de bienes y derechos.</w:t>
      </w:r>
    </w:p>
    <w:p>
      <w:pPr>
        <w:pStyle w:val="ListParagraph"/>
        <w:numPr>
          <w:ilvl w:val="0"/>
          <w:numId w:val="2"/>
        </w:numPr>
        <w:spacing w:after="80" w:line="300"/>
      </w:pPr>
      <w:r>
        <w:t xml:space="preserve">Familiar: conductas de integrantes de la familia que lesionan la integridad, dignidad o derechos de la persona adulta mayor.</w:t>
      </w:r>
    </w:p>
    <w:p>
      <w:pPr>
        <w:pStyle w:val="ListParagraph"/>
        <w:numPr>
          <w:ilvl w:val="0"/>
          <w:numId w:val="2"/>
        </w:numPr>
        <w:spacing w:after="80" w:line="300"/>
      </w:pPr>
      <w:r>
        <w:t xml:space="preserve">Institucional: obstáculos o actuaciones deficientes de las instituciones que impidan o dificulten el ejercicio de sus derechos.</w:t>
      </w:r>
    </w:p>
    <w:p>
      <w:pPr>
        <w:spacing w:after="160" w:line="300"/>
        <w:jc w:val="both"/>
      </w:pPr>
      <w:r>
        <w:rPr>
          <w:b w:val="false"/>
          <w:bCs w:val="false"/>
          <w:i w:val="false"/>
          <w:iCs w:val="false"/>
        </w:rPr>
        <w:t xml:space="preserve">El abandono y la negligencia también deben ser analizados atendiendo a las circunstancias concretas del caso, particularmente cuando existe una relación de dependencia o una obligación jurídica de cuidado.</w:t>
      </w:r>
    </w:p>
    <w:p>
      <w:pPr>
        <w:spacing w:after="160" w:line="300"/>
        <w:jc w:val="both"/>
      </w:pPr>
      <w:r>
        <w:rPr>
          <w:b w:val="false"/>
          <w:bCs w:val="false"/>
          <w:i w:val="false"/>
          <w:iCs w:val="false"/>
        </w:rPr>
        <w:t xml:space="preserve">Ante indicios de violencia, las autoridades tienen el deber de actuar con debida diligencia, adoptar medidas de protección cuando resulten procedentes y evitar que la persona afectada sea colocada nuevamente en una situación de riesgo.</w:t>
      </w:r>
    </w:p>
    <w:p>
      <w:pPr>
        <w:pStyle w:val="Heading1"/>
        <w:spacing w:after="160" w:before="320"/>
      </w:pPr>
      <w:r>
        <w:t xml:space="preserve">Protección jurídica del patrimonio</w:t>
      </w:r>
    </w:p>
    <w:p>
      <w:pPr>
        <w:spacing w:after="160" w:line="300"/>
        <w:jc w:val="both"/>
      </w:pPr>
      <w:r>
        <w:rPr>
          <w:b w:val="false"/>
          <w:bCs w:val="false"/>
          <w:i w:val="false"/>
          <w:iCs w:val="false"/>
        </w:rPr>
        <w:t xml:space="preserve">Uno de los ámbitos de mayor relevancia en la práctica del Derecho Familiar y Civil es la protección del patrimonio de las personas adultas mayores.</w:t>
      </w:r>
    </w:p>
    <w:p>
      <w:pPr>
        <w:spacing w:after="160" w:line="300"/>
        <w:jc w:val="both"/>
      </w:pPr>
      <w:r>
        <w:rPr>
          <w:b w:val="false"/>
          <w:bCs w:val="false"/>
          <w:i w:val="false"/>
          <w:iCs w:val="false"/>
        </w:rPr>
        <w:t xml:space="preserve">La vulnerabilidad económica, la dependencia respecto de familiares o cuidadores y el aislamiento social pueden generar condiciones propicias para abusos patrimoniales.</w:t>
      </w:r>
    </w:p>
    <w:p>
      <w:pPr>
        <w:spacing w:after="160" w:line="300"/>
      </w:pPr>
      <w:r>
        <w:rPr>
          <w:b w:val="false"/>
          <w:bCs w:val="false"/>
          <w:i w:val="false"/>
          <w:iCs w:val="false"/>
        </w:rPr>
        <w:t xml:space="preserve">Entre las situaciones que requieren especial atención jurídica se encuentran:</w:t>
      </w:r>
    </w:p>
    <w:p>
      <w:pPr>
        <w:pStyle w:val="ListParagraph"/>
        <w:numPr>
          <w:ilvl w:val="0"/>
          <w:numId w:val="2"/>
        </w:numPr>
        <w:spacing w:after="80" w:line="300"/>
      </w:pPr>
      <w:r>
        <w:t xml:space="preserve">Despojo de bienes inmuebles.</w:t>
      </w:r>
    </w:p>
    <w:p>
      <w:pPr>
        <w:pStyle w:val="ListParagraph"/>
        <w:numPr>
          <w:ilvl w:val="0"/>
          <w:numId w:val="2"/>
        </w:numPr>
        <w:spacing w:after="80" w:line="300"/>
      </w:pPr>
      <w:r>
        <w:t xml:space="preserve">Actos de disposición patrimonial realizados mediante engaño o presión.</w:t>
      </w:r>
    </w:p>
    <w:p>
      <w:pPr>
        <w:pStyle w:val="ListParagraph"/>
        <w:numPr>
          <w:ilvl w:val="0"/>
          <w:numId w:val="2"/>
        </w:numPr>
        <w:spacing w:after="80" w:line="300"/>
      </w:pPr>
      <w:r>
        <w:t xml:space="preserve">Abuso de confianza.</w:t>
      </w:r>
    </w:p>
    <w:p>
      <w:pPr>
        <w:pStyle w:val="ListParagraph"/>
        <w:numPr>
          <w:ilvl w:val="0"/>
          <w:numId w:val="2"/>
        </w:numPr>
        <w:spacing w:after="80" w:line="300"/>
      </w:pPr>
      <w:r>
        <w:t xml:space="preserve">Administración irregular de bienes.</w:t>
      </w:r>
    </w:p>
    <w:p>
      <w:pPr>
        <w:pStyle w:val="ListParagraph"/>
        <w:numPr>
          <w:ilvl w:val="0"/>
          <w:numId w:val="2"/>
        </w:numPr>
        <w:spacing w:after="80" w:line="300"/>
      </w:pPr>
      <w:r>
        <w:t xml:space="preserve">Conflictos relacionados con poderes y mandatos.</w:t>
      </w:r>
    </w:p>
    <w:p>
      <w:pPr>
        <w:pStyle w:val="ListParagraph"/>
        <w:numPr>
          <w:ilvl w:val="0"/>
          <w:numId w:val="2"/>
        </w:numPr>
        <w:spacing w:after="80" w:line="300"/>
      </w:pPr>
      <w:r>
        <w:t xml:space="preserve">Donaciones cuestionadas.</w:t>
      </w:r>
    </w:p>
    <w:p>
      <w:pPr>
        <w:pStyle w:val="ListParagraph"/>
        <w:numPr>
          <w:ilvl w:val="0"/>
          <w:numId w:val="2"/>
        </w:numPr>
        <w:spacing w:after="80" w:line="300"/>
      </w:pPr>
      <w:r>
        <w:t xml:space="preserve">Operaciones celebradas bajo circunstancias de vulnerabilidad.</w:t>
      </w:r>
    </w:p>
    <w:p>
      <w:pPr>
        <w:pStyle w:val="ListParagraph"/>
        <w:numPr>
          <w:ilvl w:val="0"/>
          <w:numId w:val="2"/>
        </w:numPr>
        <w:spacing w:after="80" w:line="300"/>
      </w:pPr>
      <w:r>
        <w:t xml:space="preserve">Conflictos sucesorios.</w:t>
      </w:r>
    </w:p>
    <w:p>
      <w:pPr>
        <w:pStyle w:val="ListParagraph"/>
        <w:numPr>
          <w:ilvl w:val="0"/>
          <w:numId w:val="2"/>
        </w:numPr>
        <w:spacing w:after="80" w:line="300"/>
      </w:pPr>
      <w:r>
        <w:t xml:space="preserve">Apropiación o disposición indebida de recursos.</w:t>
      </w:r>
    </w:p>
    <w:p>
      <w:pPr>
        <w:spacing w:after="160" w:line="300"/>
        <w:jc w:val="both"/>
      </w:pPr>
      <w:r>
        <w:rPr>
          <w:b w:val="false"/>
          <w:bCs w:val="false"/>
          <w:i w:val="false"/>
          <w:iCs w:val="false"/>
        </w:rPr>
        <w:t xml:space="preserve">En estos supuestos, el análisis jurídico debe realizarse atendiendo no únicamente a la existencia formal de un acto jurídico, sino también a las circunstancias en que fue celebrado, la voluntad de la persona, la información de la que disponía y la posible existencia de abuso o aprovechamiento.</w:t>
      </w:r>
    </w:p>
    <w:p>
      <w:pPr>
        <w:pStyle w:val="Heading1"/>
        <w:spacing w:after="160" w:before="320"/>
      </w:pPr>
      <w:r>
        <w:t xml:space="preserve">Personas adultas mayores en los procedimientos judiciales</w:t>
      </w:r>
    </w:p>
    <w:p>
      <w:pPr>
        <w:spacing w:after="160" w:line="300"/>
        <w:jc w:val="both"/>
      </w:pPr>
      <w:r>
        <w:rPr>
          <w:b w:val="false"/>
          <w:bCs w:val="false"/>
          <w:i w:val="false"/>
          <w:iCs w:val="false"/>
        </w:rPr>
        <w:t xml:space="preserve">El acceso a la justicia constituye un derecho fundamental y no se agota con la posibilidad formal de acudir ante un órgano jurisdiccional.</w:t>
      </w:r>
    </w:p>
    <w:p>
      <w:pPr>
        <w:spacing w:after="160" w:line="300"/>
        <w:jc w:val="both"/>
      </w:pPr>
      <w:r>
        <w:rPr>
          <w:b w:val="false"/>
          <w:bCs w:val="false"/>
          <w:i w:val="false"/>
          <w:iCs w:val="false"/>
        </w:rPr>
        <w:t xml:space="preserve">Cuando una persona adulta mayor participa en un procedimiento, deben identificarse las circunstancias que puedan constituir una barrera para su participación efectiva.</w:t>
      </w:r>
    </w:p>
    <w:p>
      <w:pPr>
        <w:spacing w:after="160" w:line="300"/>
        <w:jc w:val="both"/>
      </w:pPr>
      <w:r>
        <w:rPr>
          <w:b w:val="false"/>
          <w:bCs w:val="false"/>
          <w:i w:val="false"/>
          <w:iCs w:val="false"/>
        </w:rPr>
        <w:t xml:space="preserve">Esto puede requerir, según las circunstancias del caso, la implementación de ajustes de procedimiento, medidas de apoyo o actuaciones reforzadas que permitan garantizar su adecuada intervención procesal.</w:t>
      </w:r>
    </w:p>
    <w:p>
      <w:pPr>
        <w:spacing w:after="160" w:line="300"/>
        <w:jc w:val="both"/>
      </w:pPr>
      <w:r>
        <w:rPr>
          <w:b w:val="false"/>
          <w:bCs w:val="false"/>
          <w:i w:val="false"/>
          <w:iCs w:val="false"/>
        </w:rPr>
        <w:t xml:space="preserve">En consecuencia, el órgano jurisdiccional debe analizar las condiciones particulares de la persona sin caer en estereotipos derivados exclusivamente de su edad.</w:t>
      </w:r>
    </w:p>
    <w:p>
      <w:pPr>
        <w:spacing w:after="160" w:line="300"/>
        <w:jc w:val="both"/>
      </w:pPr>
      <w:r>
        <w:rPr>
          <w:b w:val="false"/>
          <w:bCs w:val="false"/>
          <w:i w:val="false"/>
          <w:iCs w:val="false"/>
        </w:rPr>
        <w:t xml:space="preserve">La protección reforzada debe tener como finalidad garantizar una tutela judicial efectiva, no reducir injustificadamente la autonomía de quien interviene en el procedimiento.</w:t>
      </w:r>
    </w:p>
    <w:p>
      <w:pPr>
        <w:pStyle w:val="Heading1"/>
        <w:spacing w:after="160" w:before="320"/>
      </w:pPr>
      <w:r>
        <w:t xml:space="preserve">Relevancia en materia de Derecho Familiar</w:t>
      </w:r>
    </w:p>
    <w:p>
      <w:pPr>
        <w:spacing w:after="160" w:line="300"/>
        <w:jc w:val="both"/>
      </w:pPr>
      <w:r>
        <w:rPr>
          <w:b w:val="false"/>
          <w:bCs w:val="false"/>
          <w:i w:val="false"/>
          <w:iCs w:val="false"/>
        </w:rPr>
        <w:t xml:space="preserve">La protección jurídica de las personas adultas mayores adquiere especial trascendencia en el Derecho Familiar debido a que muchos de los conflictos que las involucran surgen precisamente dentro del entorno familiar.</w:t>
      </w:r>
    </w:p>
    <w:p>
      <w:pPr>
        <w:spacing w:after="160" w:line="300"/>
      </w:pPr>
      <w:r>
        <w:rPr>
          <w:b w:val="false"/>
          <w:bCs w:val="false"/>
          <w:i w:val="false"/>
          <w:iCs w:val="false"/>
        </w:rPr>
        <w:t xml:space="preserve">Entre ellos destacan:</w:t>
      </w:r>
    </w:p>
    <w:p>
      <w:pPr>
        <w:pStyle w:val="ListParagraph"/>
        <w:numPr>
          <w:ilvl w:val="0"/>
          <w:numId w:val="2"/>
        </w:numPr>
        <w:spacing w:after="80" w:line="300"/>
      </w:pPr>
      <w:r>
        <w:t xml:space="preserve">Obligaciones alimentarias.</w:t>
      </w:r>
    </w:p>
    <w:p>
      <w:pPr>
        <w:pStyle w:val="ListParagraph"/>
        <w:numPr>
          <w:ilvl w:val="0"/>
          <w:numId w:val="2"/>
        </w:numPr>
        <w:spacing w:after="80" w:line="300"/>
      </w:pPr>
      <w:r>
        <w:t xml:space="preserve">Violencia familiar.</w:t>
      </w:r>
    </w:p>
    <w:p>
      <w:pPr>
        <w:pStyle w:val="ListParagraph"/>
        <w:numPr>
          <w:ilvl w:val="0"/>
          <w:numId w:val="2"/>
        </w:numPr>
        <w:spacing w:after="80" w:line="300"/>
      </w:pPr>
      <w:r>
        <w:t xml:space="preserve">Abandono.</w:t>
      </w:r>
    </w:p>
    <w:p>
      <w:pPr>
        <w:pStyle w:val="ListParagraph"/>
        <w:numPr>
          <w:ilvl w:val="0"/>
          <w:numId w:val="2"/>
        </w:numPr>
        <w:spacing w:after="80" w:line="300"/>
      </w:pPr>
      <w:r>
        <w:t xml:space="preserve">Conflictos relacionados con cuidados.</w:t>
      </w:r>
    </w:p>
    <w:p>
      <w:pPr>
        <w:pStyle w:val="ListParagraph"/>
        <w:numPr>
          <w:ilvl w:val="0"/>
          <w:numId w:val="2"/>
        </w:numPr>
        <w:spacing w:after="80" w:line="300"/>
      </w:pPr>
      <w:r>
        <w:t xml:space="preserve">Administración de bienes.</w:t>
      </w:r>
    </w:p>
    <w:p>
      <w:pPr>
        <w:pStyle w:val="ListParagraph"/>
        <w:numPr>
          <w:ilvl w:val="0"/>
          <w:numId w:val="2"/>
        </w:numPr>
        <w:spacing w:after="80" w:line="300"/>
      </w:pPr>
      <w:r>
        <w:t xml:space="preserve">Sucesiones testamentarias e intestamentarias.</w:t>
      </w:r>
    </w:p>
    <w:p>
      <w:pPr>
        <w:pStyle w:val="ListParagraph"/>
        <w:numPr>
          <w:ilvl w:val="0"/>
          <w:numId w:val="2"/>
        </w:numPr>
        <w:spacing w:after="80" w:line="300"/>
      </w:pPr>
      <w:r>
        <w:t xml:space="preserve">Donaciones y actos de disposición patrimonial.</w:t>
      </w:r>
    </w:p>
    <w:p>
      <w:pPr>
        <w:pStyle w:val="ListParagraph"/>
        <w:numPr>
          <w:ilvl w:val="0"/>
          <w:numId w:val="2"/>
        </w:numPr>
        <w:spacing w:after="80" w:line="300"/>
      </w:pPr>
      <w:r>
        <w:t xml:space="preserve">Conflictos entre familiares.</w:t>
      </w:r>
    </w:p>
    <w:p>
      <w:pPr>
        <w:pStyle w:val="ListParagraph"/>
        <w:numPr>
          <w:ilvl w:val="0"/>
          <w:numId w:val="2"/>
        </w:numPr>
        <w:spacing w:after="80" w:line="300"/>
      </w:pPr>
      <w:r>
        <w:t xml:space="preserve">Protección de personas en situación de dependencia.</w:t>
      </w:r>
    </w:p>
    <w:p>
      <w:pPr>
        <w:pStyle w:val="ListParagraph"/>
        <w:numPr>
          <w:ilvl w:val="0"/>
          <w:numId w:val="2"/>
        </w:numPr>
        <w:spacing w:after="80" w:line="300"/>
      </w:pPr>
      <w:r>
        <w:t xml:space="preserve">Medidas provisionales y de protección.</w:t>
      </w:r>
    </w:p>
    <w:p>
      <w:pPr>
        <w:spacing w:after="160" w:line="300"/>
        <w:jc w:val="both"/>
      </w:pPr>
      <w:r>
        <w:rPr>
          <w:b w:val="false"/>
          <w:bCs w:val="false"/>
          <w:i w:val="false"/>
          <w:iCs w:val="false"/>
        </w:rPr>
        <w:t xml:space="preserve">En cada caso resulta indispensable realizar un análisis individualizado, evitando asumir que la familia constituye necesariamente un espacio de protección. En determinadas circunstancias, el entorno familiar puede ser precisamente el lugar donde se origine la vulneración de derechos.</w:t>
      </w:r>
    </w:p>
    <w:p>
      <w:pPr>
        <w:pStyle w:val="Heading1"/>
        <w:spacing w:after="160" w:before="320"/>
      </w:pPr>
      <w:r>
        <w:t xml:space="preserve">El papel de la abogacía especializada</w:t>
      </w:r>
    </w:p>
    <w:p>
      <w:pPr>
        <w:spacing w:after="160" w:line="300"/>
        <w:jc w:val="both"/>
      </w:pPr>
      <w:r>
        <w:rPr>
          <w:b w:val="false"/>
          <w:bCs w:val="false"/>
          <w:i w:val="false"/>
          <w:iCs w:val="false"/>
        </w:rPr>
        <w:t xml:space="preserve">La intervención profesional en asuntos que involucran a personas adultas mayores exige mucho más que la aplicación mecánica de normas.</w:t>
      </w:r>
    </w:p>
    <w:p>
      <w:pPr>
        <w:spacing w:after="160" w:line="300"/>
        <w:jc w:val="both"/>
      </w:pPr>
      <w:r>
        <w:rPr>
          <w:b w:val="false"/>
          <w:bCs w:val="false"/>
          <w:i w:val="false"/>
          <w:iCs w:val="false"/>
        </w:rPr>
        <w:t xml:space="preserve">El ejercicio responsable de la abogacía requiere identificar posibles situaciones de vulnerabilidad, determinar las consecuencias jurídicas de los actos realizados y diseñar estrategias procesales que permitan una protección efectiva de los derechos de la persona.</w:t>
      </w:r>
    </w:p>
    <w:p>
      <w:pPr>
        <w:spacing w:after="160" w:line="300"/>
      </w:pPr>
      <w:r>
        <w:rPr>
          <w:b w:val="false"/>
          <w:bCs w:val="false"/>
          <w:i w:val="false"/>
          <w:iCs w:val="false"/>
        </w:rPr>
        <w:t xml:space="preserve">Desde esta perspectiva, la representación jurídica debe construirse sobre cuatro ejes:</w:t>
      </w:r>
    </w:p>
    <w:p>
      <w:pPr>
        <w:spacing w:after="40" w:line="300"/>
      </w:pPr>
      <w:r>
        <w:rPr>
          <w:b/>
          <w:bCs/>
        </w:rPr>
        <w:t xml:space="preserve">1. Protección de derechos humanos.</w:t>
      </w:r>
    </w:p>
    <w:p>
      <w:pPr>
        <w:spacing w:after="200" w:line="300"/>
        <w:ind w:left="360"/>
      </w:pPr>
      <w:r>
        <w:t xml:space="preserve">Identificar y combatir cualquier acto de discriminación, violencia o abuso.</w:t>
      </w:r>
    </w:p>
    <w:p>
      <w:pPr>
        <w:spacing w:after="40" w:line="300"/>
      </w:pPr>
      <w:r>
        <w:rPr>
          <w:b/>
          <w:bCs/>
        </w:rPr>
        <w:t xml:space="preserve">2. Respeto a la autonomía.</w:t>
      </w:r>
    </w:p>
    <w:p>
      <w:pPr>
        <w:spacing w:after="200" w:line="300"/>
        <w:ind w:left="360"/>
      </w:pPr>
      <w:r>
        <w:t xml:space="preserve">Reconocer la voluntad y capacidad jurídica de la persona adulta mayor.</w:t>
      </w:r>
    </w:p>
    <w:p>
      <w:pPr>
        <w:spacing w:after="40" w:line="300"/>
      </w:pPr>
      <w:r>
        <w:rPr>
          <w:b/>
          <w:bCs/>
        </w:rPr>
        <w:t xml:space="preserve">3. Protección frente al abuso.</w:t>
      </w:r>
    </w:p>
    <w:p>
      <w:pPr>
        <w:spacing w:after="200" w:line="300"/>
        <w:ind w:left="360"/>
      </w:pPr>
      <w:r>
        <w:t xml:space="preserve">Detectar posibles situaciones de violencia económica, patrimonial o familiar.</w:t>
      </w:r>
    </w:p>
    <w:p>
      <w:pPr>
        <w:spacing w:after="40" w:line="300"/>
      </w:pPr>
      <w:r>
        <w:rPr>
          <w:b/>
          <w:bCs/>
        </w:rPr>
        <w:t xml:space="preserve">4. Acceso efectivo a la justicia.</w:t>
      </w:r>
    </w:p>
    <w:p>
      <w:pPr>
        <w:spacing w:after="200" w:line="300"/>
        <w:ind w:left="360"/>
      </w:pPr>
      <w:r>
        <w:t xml:space="preserve">Garantizar que las condiciones particulares de la persona no constituyan una barrera para la defensa de sus derechos.</w:t>
      </w:r>
    </w:p>
    <w:p>
      <w:pPr>
        <w:pStyle w:val="Heading1"/>
        <w:spacing w:after="160" w:before="320"/>
      </w:pPr>
      <w:r>
        <w:t xml:space="preserve">Una perspectiva jurídica que trasciende la edad</w:t>
      </w:r>
    </w:p>
    <w:p>
      <w:pPr>
        <w:spacing w:after="160" w:line="300"/>
        <w:jc w:val="both"/>
      </w:pPr>
      <w:r>
        <w:rPr>
          <w:b w:val="false"/>
          <w:bCs w:val="false"/>
          <w:i w:val="false"/>
          <w:iCs w:val="false"/>
        </w:rPr>
        <w:t xml:space="preserve">La protección de las personas adultas mayores no debe construirse desde una visión exclusivamente asistencialista.</w:t>
      </w:r>
    </w:p>
    <w:p>
      <w:pPr>
        <w:spacing w:after="160" w:line="300"/>
        <w:jc w:val="both"/>
      </w:pPr>
      <w:r>
        <w:rPr>
          <w:b w:val="false"/>
          <w:bCs w:val="false"/>
          <w:i w:val="false"/>
          <w:iCs w:val="false"/>
        </w:rPr>
        <w:t xml:space="preserve">El enfoque contemporáneo de derechos humanos exige reconocerlas como sujetos plenos de derechos y obligaciones, capaces de participar en las decisiones que afectan su vida, familia y patrimonio.</w:t>
      </w:r>
    </w:p>
    <w:p>
      <w:pPr>
        <w:spacing w:after="160" w:line="300"/>
        <w:jc w:val="both"/>
      </w:pPr>
      <w:r>
        <w:rPr>
          <w:b/>
          <w:bCs/>
          <w:i w:val="false"/>
          <w:iCs w:val="false"/>
        </w:rPr>
        <w:t xml:space="preserve">La protección reforzada no significa decidir por ellas.</w:t>
      </w:r>
    </w:p>
    <w:p>
      <w:pPr>
        <w:spacing w:after="160" w:line="300"/>
        <w:jc w:val="both"/>
      </w:pPr>
      <w:r>
        <w:rPr>
          <w:b w:val="false"/>
          <w:bCs w:val="false"/>
          <w:i w:val="false"/>
          <w:iCs w:val="false"/>
        </w:rPr>
        <w:t xml:space="preserve">Significa garantizar que puedan decidir libremente, comprender las consecuencias de sus decisiones, ejercer sus derechos y acceder a mecanismos efectivos de protección cuando éstos sean vulnerados.</w:t>
      </w:r>
    </w:p>
    <w:p>
      <w:pPr>
        <w:pStyle w:val="Heading1"/>
        <w:spacing w:after="160" w:before="320"/>
      </w:pPr>
      <w:r>
        <w:t xml:space="preserve">Conclusión</w:t>
      </w:r>
    </w:p>
    <w:p>
      <w:pPr>
        <w:spacing w:after="160" w:line="300"/>
        <w:jc w:val="both"/>
      </w:pPr>
      <w:r>
        <w:rPr>
          <w:b w:val="false"/>
          <w:bCs w:val="false"/>
          <w:i w:val="false"/>
          <w:iCs w:val="false"/>
        </w:rPr>
        <w:t xml:space="preserve">La edad no disminuye la dignidad humana ni constituye, por sí misma, una limitación a la capacidad jurídica.</w:t>
      </w:r>
    </w:p>
    <w:p>
      <w:pPr>
        <w:spacing w:after="160" w:line="300"/>
        <w:jc w:val="both"/>
      </w:pPr>
      <w:r>
        <w:rPr>
          <w:b w:val="false"/>
          <w:bCs w:val="false"/>
          <w:i w:val="false"/>
          <w:iCs w:val="false"/>
        </w:rPr>
        <w:t xml:space="preserve">Cuando una persona adulta mayor se encuentra en una situación de vulnerabilidad, el orden jurídico exige una respuesta reforzada que permita prevenir abusos, eliminar barreras y garantizar el ejercicio efectivo de sus derechos.</w:t>
      </w:r>
    </w:p>
    <w:p>
      <w:pPr>
        <w:spacing w:after="160" w:line="300"/>
        <w:jc w:val="both"/>
      </w:pPr>
      <w:r>
        <w:rPr>
          <w:b w:val="false"/>
          <w:bCs w:val="false"/>
          <w:i w:val="false"/>
          <w:iCs w:val="false"/>
        </w:rPr>
        <w:t xml:space="preserve">Desde el ámbito del Derecho Familiar, Civil y Procesal, la protección de este sector exige una actuación profesional basada en la dignidad humana, igualdad, no discriminación, autonomía, capacidad jurídica, perspectiva de derechos humanos y tutela judicial efectiva.</w:t>
      </w:r>
    </w:p>
    <w:p>
      <w:pPr>
        <w:spacing w:after="160" w:line="300"/>
        <w:jc w:val="both"/>
      </w:pPr>
      <w:r>
        <w:rPr>
          <w:b/>
          <w:bCs/>
          <w:i w:val="false"/>
          <w:iCs w:val="false"/>
        </w:rPr>
        <w:t xml:space="preserve">Proteger jurídicamente a una persona adulta mayor no significa sustituir su voluntad; significa garantizar que nadie pueda aprovecharse de su vulnerabilidad para privarla de sus derechos.</w:t>
      </w:r>
    </w:p>
    <w:p>
      <w:pPr>
        <w:pStyle w:val="Heading1"/>
        <w:spacing w:after="160" w:before="320"/>
      </w:pPr>
      <w:r>
        <w:t xml:space="preserve">Reflexión jurídica</w:t>
      </w:r>
    </w:p>
    <w:p>
      <w:pPr>
        <w:spacing w:after="160" w:line="300"/>
        <w:jc w:val="both"/>
      </w:pPr>
      <w:r>
        <w:rPr>
          <w:i/>
          <w:iCs/>
        </w:rPr>
        <w:t xml:space="preserve">Una sociedad que reconoce la dignidad de las personas adultas mayores no decide por ellas: garantiza que puedan seguir decidiendo sobre su vida, su familia y su patrimonio con libertad, seguridad y plena protección jurídica.</w:t>
      </w:r>
    </w:p>
    <w:p>
      <w:pPr>
        <w:spacing w:after="0" w:before="500"/>
      </w:pPr>
    </w:p>
    <w:p>
      <w:pPr>
        <w:pBdr>
          <w:top w:val="single" w:color="1F3864" w:sz="6" w:space="4"/>
        </w:pBdr>
        <w:spacing w:after="200"/>
        <w:ind w:left="2880" w:right="2880"/>
        <w:jc w:val="center"/>
      </w:pPr>
      <w:r>
        <w:t xml:space="preserve"/>
      </w:r>
    </w:p>
    <w:p>
      <w:pPr>
        <w:spacing w:after="60"/>
        <w:jc w:val="center"/>
      </w:pPr>
      <w:r>
        <w:rPr>
          <w:b/>
          <w:bCs/>
          <w:sz w:val="24"/>
          <w:szCs w:val="24"/>
        </w:rPr>
        <w:t xml:space="preserve">Lic. Gabriela Caballero Jaquez</w:t>
      </w:r>
    </w:p>
    <w:p>
      <w:pPr>
        <w:spacing w:after="0"/>
        <w:jc w:val="center"/>
      </w:pPr>
      <w:r>
        <w:rPr>
          <w:i/>
          <w:iCs/>
          <w:sz w:val="22"/>
          <w:szCs w:val="22"/>
        </w:rPr>
        <w:t xml:space="preserve">Manzanero &amp; Asociados, Estudio Legal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Georgia" w:cs="Georgia" w:eastAsia="Georgia" w:hAnsi="Georgia"/>
      <w:b/>
      <w:bCs/>
      <w:color w:val="1F3864"/>
      <w:sz w:val="28"/>
      <w:szCs w:val="28"/>
    </w:rPr>
  </w:style>
  <w:style w:type="paragraph" w:styleId="Heading2">
    <w:name w:val="Heading 2"/>
    <w:basedOn w:val="Normal"/>
    <w:next w:val="Normal"/>
    <w:qFormat/>
    <w:pPr>
      <w:spacing w:after="120" w:before="260"/>
      <w:outlineLvl w:val="1"/>
    </w:pPr>
    <w:rPr>
      <w:rFonts w:ascii="Georgia" w:cs="Georgia" w:eastAsia="Georgia" w:hAnsi="Georgia"/>
      <w:b/>
      <w:bCs/>
      <w:color w:val="2E5395"/>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2026-08-28T01:15:08.959Z</dcterms:created>
  <dcterms:modified xsi:type="dcterms:W3CDTF">2026-08-28T01:15:08.974Z</dcterms:modified>
</cp:coreProperties>
</file>

<file path=docProps/custom.xml><?xml version="1.0" encoding="utf-8"?>
<Properties xmlns="http://schemas.openxmlformats.org/officeDocument/2006/custom-properties" xmlns:vt="http://schemas.openxmlformats.org/officeDocument/2006/docPropsVTypes"/>
</file>